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183</w:t>
      </w:r>
    </w:p>
    <w:p>
      <w:r>
        <w:t>Bundesgericht (BGE), 1999-05-20, FR</w:t>
      </w:r>
    </w:p>
    <w:p>
      <w:r>
        <w:rPr>
          <w:b/>
        </w:rPr>
        <w:t xml:space="preserve">Quelle: </w:t>
      </w:r>
      <w:r>
        <w:t>https://mcp.opencaselaw.ch/entscheid/bge_125 V 183</w:t>
      </w:r>
    </w:p>
    <w:p>
      <w:r>
        <w:t>FR: ATF 125 V 183</w:t>
      </w:r>
    </w:p>
    <w:p>
      <w:r>
        <w:t>IT: DTF 125 V 183</w:t>
      </w:r>
    </w:p>
    <w:p>
      <w:pPr>
        <w:pStyle w:val="Heading2"/>
      </w:pPr>
      <w:r>
        <w:t>Regeste</w:t>
      </w:r>
    </w:p>
    <w:p>
      <w:r>
        <w:t>Regeste Art. 84 Abs. 2, Art. 97 ff. und Art. 128 OG; Art. 65 KVG: Rechtsmittelweg. Gegen einen letztinstanzlichen kantonalen Entscheid betreffend die Rückerstattung von in Form von Prämienverbilligungen gewährten Zuschüssen ist die Verwaltungsgerichtsbeschwerde nicht zulässig. In diesem Zusammenhang nicht entscheidend ist, dass sich der kantonale Entscheid auf eine bundesrechtliche Rückerstattungsnorm, im konkreten Fall auf Art. 47 AHVG, stützt.</w:t>
      </w:r>
    </w:p>
    <w:p>
      <w:pPr>
        <w:pStyle w:val="Heading2"/>
      </w:pPr>
      <w:r>
        <w:t>Erwägungen</w:t>
      </w:r>
    </w:p>
    <w:p>
      <w:r>
        <w:rPr>
          <w:b/>
        </w:rPr>
        <w:t>E. 1</w:t>
      </w:r>
    </w:p>
    <w:p>
      <w:r>
        <w:t>Le Tribunal fédéral des assurances examine d'office la recevabilité des recours qui lui sont soumis ( ATF 124 V 298 consid. 1). D'autre part, lorsque le recourant, comme en l'espèce, agit simultanément par la voie du recours de droit public et du recours de droit administratif, il convient, en vertu de la règle de la subsidiarité du recours de droit public énoncée à l' art. 84 al. 2 OJ , d'examiner en premier lieu la recevabilité du recours de droit administratif ( ATF 123 II 233 consid. 1, ATF 122 II 375 consid. 1b).</w:t>
      </w:r>
    </w:p>
    <w:p>
      <w:r>
        <w:rPr>
          <w:b/>
        </w:rPr>
        <w:t>E. 2</w:t>
      </w:r>
    </w:p>
    <w:p>
      <w:r>
        <w:t>a) Selon l' art. 128 OJ , le Tribunal fédéral des assurances connaît en dernière instance des recours de droit administratif contre des décisions au BGE 125 V 183 S. 185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En revanche, c'est la voie du recours de droit public qui est ouverte contre des décisions fondées uniquement sur le droit cantonal et ne présentant pas un rapport de connexité étroit avec l'application du droit public de la Confédération ( ATF 124 II 414 consid. 1d/dd, ATF 123 II 361 consid. 1a/aa). b) Le montant de 534 fr. 85 dont la caisse demande la restitution concerne la réduction des primes de l'assurance obligatoire des soins au sens de l' art. 65 LAMal . Selon l'alinéa 1er de cette disposition, les cantons accordent des réductions de primes aux assurés de condition économique modeste. La Confédération accorde aux cantons des subsides annuels pour la réduction de ces primes ( art. 66 al. 1 LAMal ). Dans le canton de Genève, ces réductions font l'objet de dispositions figurant aux art. 19 ss de la loi d'application de la loi fédérale sur l'assurance-maladie du 29 mai 1997, entrée en vigueur le 1er janvier 1998 (RS GE J 3 05) et qui remplace l'ancienne loi sur l'assurance-maladie obligatoire, le subventionnement des caisses-maladie et l'octroi de subsides en faveur de certains assurés des caisses-maladie du 18 septembre 1992. Le Conseil d'Etat genevois a pour sa part adopté le 15 décembre 1997 un règlement d'exécution de la loi du 29 mai 1997 (RS GE J 3 05.01). Ce règlement abroge un règlement transitoire d'application de la loi du 18 septembre 1992 (cf. RAMA 1999 no KV 56 p. 1). Il contient - comme le précédent - des dispositions sur le revenu déterminant (art. 10) et le montant des subsides (art. 11). D'après la jurisprudence, les règles cantonales régissant la réduction de primes dans l'assurance-maladie constituent du droit cantonal autonome. Les conditions d'obtention de ces réductions ne sont pas réglées par le droit fédéral, qui ne définit pas, en particulier, la notion d'"assurés de condition économique modeste". Aussi un jugement cantonal de dernière instance ne peut-il, en ce domaine, être déféré au Tribunal fédéral des assurances par la voie du recours de droit administratif ( ATF 124 V 19 ; RAMA 1999 no KV 56 p. 1; voir aussi ATF 122 I 343 ). En principe, le présent litige BGE 125 V 183 S. 186 doit donc être exclusivement tranché sur la base du droit cantonal, si bien que seul le recours de droit public est ouvert dans ce cas. c) Pour confirmer la décision de restitution de la caisse, les premiers juges s'appuient toutefois sur l' art. 47 LAVS , relatif à la restitution de rentes et allocations pour impotents de l'AVS indûment touchées, disposition légale dont le Tribunal fédéral des assurances a jugé (sous le régime de la LAMA) qu'elle s'appliquait par analogie en matière d'assurance-maladie, du moins en l'absence d'une réglementation statutaire idoine ( ATF 119 V 300 sv. consid. 4b/bb et les références citées). Mais la simple référence à cette disposition dans le jugement attaqué ne suffit pas pour admettre que celui-ci repose sur le droit fédéral. Dans la mesure où les règles qui mettent en oeuvre la réduction des primes de l'assurance-maladie obligatoire des soins relèvent exclusivement du droit cantonal, l' art. 47 LAVS ne saurait trouver application comme tel, mais peut tout au plus, dans ce contexte, être invoqué par analogie ou à titre de droit cantonal supplétif ou encore comme étant l'expression d'un principe général. Dans toutes ces éventualités, il devrait être considéré comme relevant du droit cantonal ( ATF 123 II 61 consid. 4a, ATF 108 II 335 sv. consid. 3; GRISEL, Traité de droit administratif, p. 813). d) Sur ce point, la législation genevoise ne contient certes pas de renvoi à l' art. 47 LAVS , qui permettrait de conclure à l'existence d'une norme de droit cantonal supplétif. Au contraire, l'art. 33 de la loi du 29 mai 1997 prévoit expressément l'obligation de restituer des subsides indûment versés, dans des termes d'ailleurs largement identiques à ceux de l' art. 47 LAVS . On notera que la loi du 18 septembre 1992 contenait également une semblable réglementation. Les premiers juges, implicitement tout au moins, ont donc écarté l'application du droit cantonal au profit du droit fédéral. Mais cette circonstance n'est pas décisive pour le choix de la voie de recours. D'après la jurisprudence, le recours de droit administratif est recevable non seulement lorsque la décision se fonde sur le droit fédéral, mais aussi lorsqu'elle aurait dû se fonder sur le droit fédéral ( ATF 124 V 21 consid. 2a, ATF 123 II 61 consid. 4a). A l'inverse, ce n'est pas la voie du recours de droit administratif, mais celle du recours de droit public, qui est ouverte lorsqu'une décision repose formellement, à tort, sur le droit fédéral en lieu et place du droit cantonal. Ce qui est déterminant, à cet égard, ce n'est pas la norme qui a été formellement appliquée par le juge cantonal mais celle qui aurait dû être appliquée compte tenu du rapport juridique litigieux (KÄLIN, BGE 125 V 183 S. 187 Das Verfahren der staatsrechtlichen Beschwerde, 2ème éd., p. 293 sv., note de bas de page 64; GYGI, Bundesverwaltungsrechtspflege, 2ème éd., p. 91). Une décision est donc fondée sur le droit cantonal ou est censée l'être, lorsque - comme en l'espèce - celui-ci règle le domaine à considérer de manière autonome par rapport au droit fédéral (voir aussi MARC FORSTER, Woran staatsrechtliche Beschwerden scheitern: zur Eintretenspraxis des Bundesgerichtes, in: RSJ 1993, p. 82). De même, la voie du recours de droit administratif n'est pas ouverte au seul motif que la décision attaquée violerait le droit fédéral ou que le recourant invoque une violation de ce droit ( ATF 112 V 113 consid. 2d). Comme le relève KÄLIN (ibidem), il arrive que le Tribunal fédéral des assurances entre en matière sur un recours de droit administratif dirigé contre un jugement qui se fonde sur le droit fédéral de procédure, alors qu'il apparaît, en définitive, que ce droit n'exclut pas l'application de dispositions du droit cantonal; il en va ainsi, par exemple, en ce qui concerne la suspension des délais dans la procédure de première instance en matière d'assurance-accidents ( ATF 116 V 265 ). Mais il existe dans ce cas un rapport de connexité étroit avec l'application du droit public de la Confédération (en l'occurrence il s'agissait des art. 96 ss LAA ), qui fonde la recevabilité du recours de droit administratif. En l'espèce, un tel rapport de connexité fait défaut. e) Dès lors, dans la mesure où il se prononce sur la restitution de 534 fr. 85 versés en trop à titre de réduction de primes, le jugement attaqué est fondé - ou aurait dû être fondé - sur le droit cantonal, de telle sorte que le recours de droit administratif est irrecevable.</w:t>
      </w:r>
    </w:p>
    <w:p>
      <w:r>
        <w:rPr>
          <w:b/>
        </w:rPr>
        <w:t>E. 3</w:t>
      </w:r>
    </w:p>
    <w:p>
      <w:r>
        <w:t>En revanche, en tant qu'il porte sur des participations aux coûts ( art. 64 LAMal ) et sur un solde de primes ( art. 61 ss LAMal ), le jugement attaqué se fonde sur le droit fédéral des assurances sociales ( art. 128 OJ ). Sur ces deux points, la voie du recours de droit administratif est donc ouverte. Le recourant fait valoir que "les prétentions de la CPT ne sauraient s'exercer contre un débiteur unique". On peut en déduire qu'il conteste être le seul débiteur des montants qui lui sont réclamés par la caisse. Celle-ci admet d'ailleurs, à ce propos, que le montant de 111 fr. 95 réclamé par elle au titre de participation aux coûts concerne en réalité S. X. La caisse n'était dès lors pas fondée à réclamer cette somme au recourant. Peu importe que ce dernier soit apparu, ainsi qu'elle l'affirme, comme étant le "chef de famille" ou comme le représentant de son frère. En effet, comme l'exprime l' art. 64 al. 1 LAMal , les assurés participent au coût des prestations dont BGE 125 V 183 S. 188 ils bénéficient. C'est donc sans conteste le bénéficiaire des prestations (en l'occurrence le frère du recourant) qui est le débiteur de la participation en cause. Pour le reste, la prétention de la caisse, dans la mesure où elle porte sur les montants de 21 fr. 60 et de 9 francs, montants dont il y a lieu d'admettre, sur le vu des pièces, qu'ils sont dus par le recourant, n'apparaît pas contestable.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